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rPr>
          <w:rFonts w:ascii="Arial" w:hAnsi="Arial" w:eastAsia="宋体" w:cs="Arial"/>
          <w:b/>
          <w:sz w:val="24"/>
          <w:szCs w:val="24"/>
          <w:lang w:eastAsia="zh-CN"/>
        </w:rPr>
        <w:t>94bis-e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R4-2002357</w:t>
      </w:r>
      <w:bookmarkStart w:id="6" w:name="_GoBack"/>
      <w:bookmarkEnd w:id="6"/>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20</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30 Apr.,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 xml:space="preserve">on </w:t>
      </w:r>
      <w:bookmarkEnd w:id="4"/>
      <w:r>
        <w:rPr>
          <w:rFonts w:hint="eastAsia" w:ascii="Arial" w:hAnsi="Arial" w:eastAsia="宋体" w:cs="Arial"/>
          <w:b/>
          <w:bCs/>
          <w:sz w:val="24"/>
          <w:lang w:val="en-US" w:eastAsia="zh-CN"/>
        </w:rPr>
        <w:t>BFD and BFR requirements for IAB MT</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6.5.3.6</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r>
        <w:rPr>
          <w:rFonts w:hint="eastAsia" w:eastAsia="宋体"/>
          <w:sz w:val="22"/>
          <w:szCs w:val="22"/>
          <w:lang w:val="en-US" w:eastAsia="zh-CN"/>
        </w:rPr>
        <w:t>In RAN #86, it was agreed that BFD and BFR requirements need to be specified at least for micro type IAB MTs [1]. Details are left out regarding how the requirements should look like and what is the definition of different types of IAB MTs. In this paper we tend to discuss how to specify BFD and BFR requirements for micro type of IAB MTs.</w:t>
      </w:r>
    </w:p>
    <w:p>
      <w:pPr>
        <w:pStyle w:val="28"/>
        <w:jc w:val="both"/>
        <w:rPr>
          <w:rFonts w:hint="default" w:eastAsia="宋体"/>
          <w:lang w:val="en-US" w:eastAsia="zh-CN"/>
        </w:rPr>
      </w:pPr>
      <w:r>
        <w:t>2</w:t>
      </w:r>
      <w:r>
        <w:tab/>
      </w:r>
      <w:r>
        <w:rPr>
          <w:rFonts w:hint="eastAsia"/>
        </w:rPr>
        <w:t>BFD and BFR</w:t>
      </w:r>
      <w:r>
        <w:rPr>
          <w:rFonts w:hint="eastAsia"/>
          <w:lang w:val="en-US" w:eastAsia="zh-CN"/>
        </w:rPr>
        <w:t xml:space="preserve"> requirements for IAB MTs</w:t>
      </w:r>
    </w:p>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r>
        <w:rPr>
          <w:rFonts w:hint="eastAsia" w:eastAsia="宋体"/>
          <w:sz w:val="22"/>
          <w:szCs w:val="22"/>
          <w:lang w:val="en-US" w:eastAsia="zh-CN"/>
        </w:rPr>
        <w:t>The agreements from RAN #86 are copied below.</w:t>
      </w:r>
    </w:p>
    <w:tbl>
      <w:tblPr>
        <w:tblStyle w:val="19"/>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47" w:type="dxa"/>
          </w:tcPr>
          <w:p>
            <w:pPr>
              <w:numPr>
                <w:ilvl w:val="0"/>
                <w:numId w:val="0"/>
              </w:num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·RAN4 will introduce RLM and BFD/BFR requirements for the MT targeting certain scenarios classes depending on RAN4 definition</w:t>
            </w:r>
          </w:p>
          <w:p>
            <w:pPr>
              <w:numPr>
                <w:ilvl w:val="0"/>
                <w:numId w:val="0"/>
              </w:numPr>
              <w:overflowPunct w:val="0"/>
              <w:autoSpaceDE w:val="0"/>
              <w:autoSpaceDN w:val="0"/>
              <w:adjustRightInd w:val="0"/>
              <w:spacing w:after="0" w:line="240" w:lineRule="auto"/>
              <w:ind w:firstLine="440" w:firstLineChars="200"/>
              <w:jc w:val="both"/>
              <w:rPr>
                <w:rFonts w:hint="eastAsia" w:eastAsia="宋体"/>
                <w:sz w:val="22"/>
                <w:szCs w:val="22"/>
                <w:lang w:val="en-US" w:eastAsia="zh-CN"/>
              </w:rPr>
            </w:pPr>
            <w:r>
              <w:rPr>
                <w:rFonts w:hint="eastAsia" w:eastAsia="宋体"/>
                <w:sz w:val="22"/>
                <w:szCs w:val="22"/>
                <w:lang w:val="en-US" w:eastAsia="zh-CN"/>
              </w:rPr>
              <w:t>·Requirements will be defined for scenarios not targeting macro type of deployments. No requirements will be defined for scenarios targeting macro type of deployments:</w:t>
            </w:r>
          </w:p>
          <w:p>
            <w:pPr>
              <w:numPr>
                <w:ilvl w:val="0"/>
                <w:numId w:val="0"/>
              </w:numPr>
              <w:overflowPunct w:val="0"/>
              <w:autoSpaceDE w:val="0"/>
              <w:autoSpaceDN w:val="0"/>
              <w:adjustRightInd w:val="0"/>
              <w:spacing w:after="0" w:line="240" w:lineRule="auto"/>
              <w:ind w:firstLine="660" w:firstLineChars="300"/>
              <w:jc w:val="both"/>
              <w:rPr>
                <w:rFonts w:hint="eastAsia" w:eastAsia="宋体"/>
                <w:sz w:val="22"/>
                <w:szCs w:val="22"/>
                <w:lang w:val="en-US" w:eastAsia="zh-CN"/>
              </w:rPr>
            </w:pPr>
            <w:r>
              <w:rPr>
                <w:rFonts w:hint="eastAsia" w:eastAsia="宋体"/>
                <w:sz w:val="22"/>
                <w:szCs w:val="22"/>
                <w:lang w:val="en-US" w:eastAsia="zh-CN"/>
              </w:rPr>
              <w:t>·If multiple MT classes (e.g. macro type, pico type deployments) are defined, the requirements should be defined only for the MT classes not targeting macro type of deployment.</w:t>
            </w:r>
          </w:p>
          <w:p>
            <w:pPr>
              <w:numPr>
                <w:ilvl w:val="0"/>
                <w:numId w:val="0"/>
              </w:numPr>
              <w:overflowPunct w:val="0"/>
              <w:autoSpaceDE w:val="0"/>
              <w:autoSpaceDN w:val="0"/>
              <w:adjustRightInd w:val="0"/>
              <w:spacing w:after="0" w:line="240" w:lineRule="auto"/>
              <w:ind w:firstLine="660" w:firstLineChars="300"/>
              <w:jc w:val="both"/>
              <w:rPr>
                <w:rFonts w:hint="eastAsia" w:eastAsia="宋体"/>
                <w:sz w:val="22"/>
                <w:szCs w:val="22"/>
                <w:lang w:val="en-US" w:eastAsia="zh-CN"/>
              </w:rPr>
            </w:pPr>
            <w:r>
              <w:rPr>
                <w:rFonts w:hint="eastAsia" w:eastAsia="宋体"/>
                <w:sz w:val="22"/>
                <w:szCs w:val="22"/>
                <w:lang w:val="en-US" w:eastAsia="zh-CN"/>
              </w:rPr>
              <w:t xml:space="preserve">·If a single MT class is defined, the requirements should be defined for the DU class not targeting DU macro type of deployment. </w:t>
            </w:r>
          </w:p>
          <w:p>
            <w:pPr>
              <w:numPr>
                <w:ilvl w:val="0"/>
                <w:numId w:val="0"/>
              </w:numPr>
              <w:overflowPunct w:val="0"/>
              <w:autoSpaceDE w:val="0"/>
              <w:autoSpaceDN w:val="0"/>
              <w:adjustRightInd w:val="0"/>
              <w:spacing w:after="0" w:line="240" w:lineRule="auto"/>
              <w:ind w:firstLine="220" w:firstLineChars="100"/>
              <w:jc w:val="both"/>
              <w:rPr>
                <w:rFonts w:ascii="Calibri" w:hAnsi="Calibri" w:eastAsia="宋体" w:cs="Arial"/>
                <w:lang w:val="en-US" w:eastAsia="zh-CN"/>
              </w:rPr>
            </w:pPr>
            <w:r>
              <w:rPr>
                <w:rFonts w:hint="eastAsia" w:eastAsia="宋体"/>
                <w:sz w:val="22"/>
                <w:szCs w:val="22"/>
                <w:lang w:val="en-US" w:eastAsia="zh-CN"/>
              </w:rPr>
              <w:t>·Rel.15 UE requirement framework for RLM and BFD/BFR will be taken as baseline</w:t>
            </w:r>
          </w:p>
        </w:tc>
      </w:tr>
    </w:tbl>
    <w:p>
      <w:pPr>
        <w:rPr>
          <w:rFonts w:hint="default" w:eastAsia="宋体"/>
          <w:sz w:val="22"/>
          <w:szCs w:val="22"/>
          <w:lang w:val="en-US" w:eastAsia="zh-CN"/>
        </w:rPr>
      </w:pPr>
    </w:p>
    <w:p>
      <w:pPr>
        <w:pStyle w:val="40"/>
        <w:rPr>
          <w:rFonts w:hint="default" w:eastAsia="宋体"/>
          <w:sz w:val="22"/>
          <w:szCs w:val="22"/>
          <w:lang w:val="en-US" w:eastAsia="zh-CN"/>
        </w:rPr>
      </w:pPr>
      <w:r>
        <w:rPr>
          <w:rFonts w:hint="eastAsia" w:eastAsia="宋体"/>
          <w:sz w:val="22"/>
          <w:szCs w:val="22"/>
          <w:lang w:val="en-US" w:eastAsia="zh-CN"/>
        </w:rPr>
        <w:t>It</w:t>
      </w:r>
      <w:r>
        <w:rPr>
          <w:rFonts w:hint="default" w:eastAsia="宋体"/>
          <w:sz w:val="22"/>
          <w:szCs w:val="22"/>
          <w:lang w:val="en-US" w:eastAsia="zh-CN"/>
        </w:rPr>
        <w:t>’</w:t>
      </w:r>
      <w:r>
        <w:rPr>
          <w:rFonts w:hint="eastAsia" w:eastAsia="宋体"/>
          <w:sz w:val="22"/>
          <w:szCs w:val="22"/>
          <w:lang w:val="en-US" w:eastAsia="zh-CN"/>
        </w:rPr>
        <w:t>s agreed that R15 UE requirement framework for BFD and BFR will be taken as baseline.</w:t>
      </w:r>
    </w:p>
    <w:p>
      <w:pPr>
        <w:rPr>
          <w:rFonts w:hint="default" w:eastAsia="宋体" w:cs="v4.2.0"/>
          <w:sz w:val="22"/>
          <w:szCs w:val="22"/>
          <w:vertAlign w:val="baseline"/>
          <w:lang w:val="en-US" w:eastAsia="zh-CN"/>
        </w:rPr>
      </w:pPr>
      <w:r>
        <w:rPr>
          <w:rFonts w:hint="eastAsia" w:eastAsia="宋体" w:cs="v4.2.0"/>
          <w:sz w:val="22"/>
          <w:szCs w:val="22"/>
          <w:vertAlign w:val="baseline"/>
          <w:lang w:val="en-US" w:eastAsia="zh-CN"/>
        </w:rPr>
        <w:t xml:space="preserve">Basically we think micro type of IAB MTs should reuse most of the </w:t>
      </w:r>
      <w:r>
        <w:rPr>
          <w:rFonts w:hint="eastAsia" w:eastAsia="宋体"/>
          <w:sz w:val="22"/>
          <w:szCs w:val="22"/>
          <w:lang w:val="en-US" w:eastAsia="zh-CN"/>
        </w:rPr>
        <w:t>BFD and BFR</w:t>
      </w:r>
      <w:r>
        <w:rPr>
          <w:rFonts w:hint="eastAsia" w:eastAsia="宋体" w:cs="v4.2.0"/>
          <w:sz w:val="22"/>
          <w:szCs w:val="22"/>
          <w:vertAlign w:val="baseline"/>
          <w:lang w:val="en-US" w:eastAsia="zh-CN"/>
        </w:rPr>
        <w:t xml:space="preserve"> requirements for R15 UEs, with some relaxation on certain  aspects. This is because in R16, IAB MTs would not be mobile so the channel condition between IAB parent nodes and child nodes should be considerably better than that between a UE and a gNB. What</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s more, IAB-MTs are not required to monitor as many as reference signals as R15 UEs.</w:t>
      </w:r>
    </w:p>
    <w:p>
      <w:pPr>
        <w:rPr>
          <w:rFonts w:hint="default" w:eastAsia="宋体" w:cs="v4.2.0"/>
          <w:sz w:val="22"/>
          <w:szCs w:val="22"/>
          <w:vertAlign w:val="baseline"/>
          <w:lang w:val="en-US" w:eastAsia="zh-CN"/>
        </w:rPr>
      </w:pPr>
      <w:r>
        <w:rPr>
          <w:rFonts w:hint="eastAsia" w:eastAsia="宋体" w:cs="v4.2.0"/>
          <w:sz w:val="22"/>
          <w:szCs w:val="22"/>
          <w:vertAlign w:val="baseline"/>
          <w:lang w:val="en-US" w:eastAsia="zh-CN"/>
        </w:rPr>
        <w:t>Reusing most of existing R15 UE requirements would save the group most time so that the RRM requirements for IAB can be finished timely. As per the status report, the completion rate of IAB specification is already behind schedule, so we think reusing most parts of R15 UE requirements make sense. Only necessary and essential relaxations / changes should apply.</w:t>
      </w:r>
    </w:p>
    <w:p>
      <w:pPr>
        <w:pStyle w:val="36"/>
        <w:rPr>
          <w:rFonts w:hint="eastAsia"/>
          <w:sz w:val="22"/>
          <w:szCs w:val="22"/>
          <w:lang w:val="en-US" w:eastAsia="zh-CN"/>
        </w:rPr>
      </w:pPr>
      <w:r>
        <w:rPr>
          <w:rFonts w:hint="eastAsia" w:eastAsia="宋体"/>
          <w:sz w:val="22"/>
          <w:szCs w:val="22"/>
          <w:lang w:val="en-US" w:eastAsia="zh-CN"/>
        </w:rPr>
        <w:t>M</w:t>
      </w:r>
      <w:r>
        <w:rPr>
          <w:rFonts w:hint="eastAsia" w:eastAsia="宋体" w:cs="v4.2.0"/>
          <w:sz w:val="22"/>
          <w:szCs w:val="22"/>
          <w:vertAlign w:val="baseline"/>
          <w:lang w:val="en-US" w:eastAsia="zh-CN"/>
        </w:rPr>
        <w:t xml:space="preserve">icro type of IAB MTs should reuse most of the </w:t>
      </w:r>
      <w:r>
        <w:rPr>
          <w:rFonts w:hint="eastAsia" w:eastAsia="宋体"/>
          <w:sz w:val="22"/>
          <w:szCs w:val="22"/>
          <w:lang w:val="en-US" w:eastAsia="zh-CN"/>
        </w:rPr>
        <w:t>BFD and BFR</w:t>
      </w:r>
      <w:r>
        <w:rPr>
          <w:rFonts w:hint="eastAsia" w:eastAsia="宋体" w:cs="v4.2.0"/>
          <w:sz w:val="22"/>
          <w:szCs w:val="22"/>
          <w:vertAlign w:val="baseline"/>
          <w:lang w:val="en-US" w:eastAsia="zh-CN"/>
        </w:rPr>
        <w:t xml:space="preserve"> requirements for R15 UEs, with only essential relaxations</w:t>
      </w:r>
      <w:r>
        <w:rPr>
          <w:rFonts w:hint="eastAsia" w:eastAsia="宋体"/>
          <w:sz w:val="22"/>
          <w:szCs w:val="22"/>
          <w:lang w:val="en-US" w:eastAsia="zh-CN"/>
        </w:rPr>
        <w:t>.</w:t>
      </w:r>
    </w:p>
    <w:p>
      <w:pPr>
        <w:rPr>
          <w:rFonts w:hint="eastAsia"/>
          <w:lang w:val="en-US" w:eastAsia="zh-CN"/>
        </w:rPr>
      </w:pPr>
      <w:r>
        <w:rPr>
          <w:rFonts w:hint="eastAsia" w:eastAsia="宋体" w:cs="v4.2.0"/>
          <w:sz w:val="22"/>
          <w:szCs w:val="22"/>
          <w:vertAlign w:val="baseline"/>
          <w:lang w:val="en-US" w:eastAsia="zh-CN"/>
        </w:rPr>
        <w:t xml:space="preserve">As to which </w:t>
      </w:r>
      <w:r>
        <w:rPr>
          <w:rFonts w:hint="eastAsia" w:eastAsia="宋体"/>
          <w:sz w:val="22"/>
          <w:szCs w:val="22"/>
          <w:lang w:val="en-US" w:eastAsia="zh-CN"/>
        </w:rPr>
        <w:t>BFD and BFR</w:t>
      </w:r>
      <w:r>
        <w:rPr>
          <w:rFonts w:hint="eastAsia" w:eastAsia="宋体" w:cs="v4.2.0"/>
          <w:sz w:val="22"/>
          <w:szCs w:val="22"/>
          <w:vertAlign w:val="baseline"/>
          <w:lang w:val="en-US" w:eastAsia="zh-CN"/>
        </w:rPr>
        <w:t xml:space="preserve"> requirements need to be relaxed, we propose to consider the following.</w:t>
      </w:r>
    </w:p>
    <w:p>
      <w:pPr>
        <w:rPr>
          <w:rFonts w:hint="eastAsia" w:eastAsia="宋体" w:cs="v4.2.0"/>
          <w:sz w:val="22"/>
          <w:szCs w:val="22"/>
          <w:vertAlign w:val="baseline"/>
          <w:lang w:val="en-US" w:eastAsia="zh-CN"/>
        </w:rPr>
      </w:pPr>
      <w:r>
        <w:rPr>
          <w:rFonts w:hint="eastAsia" w:eastAsia="宋体" w:cs="v4.2.0"/>
          <w:sz w:val="22"/>
          <w:szCs w:val="22"/>
          <w:vertAlign w:val="baseline"/>
          <w:lang w:val="en-US" w:eastAsia="zh-CN"/>
        </w:rPr>
        <w:t>One requirement which can be simplified is the sharing factor P. The purpose to introduce the sharing factor P is mainly to allow UE to measure different types of reference signals and to resolve the issue when those reference signals overlap. The IAB MTs don</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 xml:space="preserve">t need to measure as many reference signals as UE so the sharing factor is not really necessary when deriving the measurement period for IAB MTs. Thus, we propose to omit the sharing factor P from the </w:t>
      </w:r>
      <w:r>
        <w:rPr>
          <w:rFonts w:hint="eastAsia" w:eastAsia="宋体"/>
          <w:sz w:val="22"/>
          <w:szCs w:val="22"/>
          <w:lang w:val="en-US" w:eastAsia="zh-CN"/>
        </w:rPr>
        <w:t>BFD and BFR</w:t>
      </w:r>
      <w:r>
        <w:rPr>
          <w:rFonts w:hint="eastAsia" w:eastAsia="宋体" w:cs="v4.2.0"/>
          <w:sz w:val="22"/>
          <w:szCs w:val="22"/>
          <w:vertAlign w:val="baseline"/>
          <w:lang w:val="en-US" w:eastAsia="zh-CN"/>
        </w:rPr>
        <w:t xml:space="preserve"> requirements (P = 1 always).</w:t>
      </w:r>
    </w:p>
    <w:p>
      <w:pPr>
        <w:pStyle w:val="36"/>
        <w:rPr>
          <w:rFonts w:hint="default" w:eastAsia="宋体" w:cs="v4.2.0"/>
          <w:sz w:val="22"/>
          <w:szCs w:val="22"/>
          <w:vertAlign w:val="baseline"/>
          <w:lang w:val="en-US" w:eastAsia="zh-CN"/>
        </w:rPr>
      </w:pPr>
      <w:r>
        <w:rPr>
          <w:rFonts w:hint="eastAsia" w:eastAsia="宋体" w:cs="v4.2.0"/>
          <w:sz w:val="22"/>
          <w:szCs w:val="22"/>
          <w:vertAlign w:val="baseline"/>
          <w:lang w:val="en-US" w:eastAsia="zh-CN"/>
        </w:rPr>
        <w:t xml:space="preserve">Omit the sharing factor P from the </w:t>
      </w:r>
      <w:r>
        <w:rPr>
          <w:rFonts w:hint="eastAsia" w:eastAsia="宋体"/>
          <w:sz w:val="22"/>
          <w:szCs w:val="22"/>
          <w:lang w:val="en-US" w:eastAsia="zh-CN"/>
        </w:rPr>
        <w:t>BFD and BFR</w:t>
      </w:r>
      <w:r>
        <w:rPr>
          <w:rFonts w:hint="eastAsia" w:eastAsia="宋体" w:cs="v4.2.0"/>
          <w:sz w:val="22"/>
          <w:szCs w:val="22"/>
          <w:vertAlign w:val="baseline"/>
          <w:lang w:val="en-US" w:eastAsia="zh-CN"/>
        </w:rPr>
        <w:t xml:space="preserve"> requirements (P = 1 always).</w:t>
      </w:r>
    </w:p>
    <w:p>
      <w:pPr>
        <w:rPr>
          <w:rFonts w:hint="eastAsia" w:eastAsia="宋体" w:cs="v4.2.0"/>
          <w:sz w:val="22"/>
          <w:szCs w:val="22"/>
          <w:vertAlign w:val="baseline"/>
          <w:lang w:val="en-US" w:eastAsia="zh-CN"/>
        </w:rPr>
      </w:pPr>
      <w:r>
        <w:rPr>
          <w:rFonts w:hint="eastAsia" w:eastAsia="宋体" w:cs="v4.2.0"/>
          <w:sz w:val="22"/>
          <w:szCs w:val="22"/>
          <w:vertAlign w:val="baseline"/>
          <w:lang w:val="en-US" w:eastAsia="zh-CN"/>
        </w:rPr>
        <w:t>Note that the sharing factor P is also used in RLM. The discussion on whether to remove the sharing factor should be combined across all relevant sub-agendas and a decision should be made for all scenarios where P is involved.</w:t>
      </w:r>
    </w:p>
    <w:p>
      <w:pPr>
        <w:pStyle w:val="36"/>
        <w:rPr>
          <w:rFonts w:hint="default" w:eastAsia="宋体" w:cs="v4.2.0"/>
          <w:sz w:val="22"/>
          <w:szCs w:val="22"/>
          <w:vertAlign w:val="baseline"/>
          <w:lang w:val="en-US" w:eastAsia="zh-CN"/>
        </w:rPr>
      </w:pPr>
      <w:r>
        <w:rPr>
          <w:rFonts w:hint="eastAsia" w:eastAsia="宋体" w:cs="v4.2.0"/>
          <w:sz w:val="22"/>
          <w:szCs w:val="22"/>
          <w:vertAlign w:val="baseline"/>
          <w:lang w:val="en-US" w:eastAsia="zh-CN"/>
        </w:rPr>
        <w:t>The discussion on whether to remove the sharing factor should be combined across all relevant sub-agendas and a decision should be made for all scenarios where P is involved.</w:t>
      </w:r>
    </w:p>
    <w:p>
      <w:pPr>
        <w:rPr>
          <w:rFonts w:hint="default" w:eastAsia="宋体" w:cs="v4.2.0"/>
          <w:sz w:val="22"/>
          <w:szCs w:val="22"/>
          <w:vertAlign w:val="baseline"/>
          <w:lang w:val="en-US" w:eastAsia="zh-CN"/>
        </w:rPr>
      </w:pPr>
      <w:r>
        <w:rPr>
          <w:rFonts w:hint="eastAsia" w:eastAsia="宋体" w:cs="v4.2.0"/>
          <w:sz w:val="22"/>
          <w:szCs w:val="22"/>
          <w:vertAlign w:val="baseline"/>
          <w:lang w:val="en-US" w:eastAsia="zh-CN"/>
        </w:rPr>
        <w:t>Another topic to be discussed is the beam sweeping factor N. We agree with [2] that the candidate beams should be limited to a smaller number than 8 for IAB-MTs. The larger N is, the longer the whole evaluation period is, which will cause more time for IAB-MTs to recover from beam failure. Thus, a smaller value of N should be considered.</w:t>
      </w:r>
    </w:p>
    <w:p>
      <w:pPr>
        <w:pStyle w:val="36"/>
        <w:rPr>
          <w:rFonts w:hint="default" w:eastAsia="宋体" w:cs="v4.2.0"/>
          <w:sz w:val="22"/>
          <w:szCs w:val="22"/>
          <w:vertAlign w:val="baseline"/>
          <w:lang w:val="en-US" w:eastAsia="zh-CN"/>
        </w:rPr>
      </w:pPr>
      <w:r>
        <w:rPr>
          <w:rFonts w:hint="eastAsia" w:eastAsia="宋体" w:cs="v4.2.0"/>
          <w:sz w:val="22"/>
          <w:szCs w:val="22"/>
          <w:vertAlign w:val="baseline"/>
          <w:lang w:val="en-US" w:eastAsia="zh-CN"/>
        </w:rPr>
        <w:t>Beam sweeping factor N = 4.</w:t>
      </w:r>
    </w:p>
    <w:p>
      <w:pPr>
        <w:pStyle w:val="28"/>
        <w:jc w:val="both"/>
      </w:pPr>
      <w:r>
        <w:rPr>
          <w:rFonts w:hint="eastAsia"/>
          <w:lang w:val="en-US" w:eastAsia="zh-CN"/>
        </w:rPr>
        <w:t>3</w:t>
      </w:r>
      <w:r>
        <w:tab/>
      </w:r>
      <w:r>
        <w:t>Conclusion</w:t>
      </w:r>
    </w:p>
    <w:p>
      <w:pPr>
        <w:pStyle w:val="30"/>
        <w:keepNext w:val="0"/>
        <w:keepLines w:val="0"/>
        <w:pageBreakBefore w:val="0"/>
        <w:widowControl/>
        <w:numPr>
          <w:ilvl w:val="0"/>
          <w:numId w:val="6"/>
        </w:numPr>
        <w:kinsoku/>
        <w:wordWrap/>
        <w:overflowPunct/>
        <w:topLinePunct w:val="0"/>
        <w:autoSpaceDE/>
        <w:autoSpaceDN/>
        <w:bidi w:val="0"/>
        <w:adjustRightInd/>
        <w:snapToGrid/>
        <w:spacing w:line="260" w:lineRule="auto"/>
        <w:ind w:left="0" w:firstLine="0"/>
        <w:textAlignment w:val="auto"/>
        <w:outlineLvl w:val="9"/>
        <w:rPr>
          <w:sz w:val="22"/>
          <w:szCs w:val="22"/>
        </w:rPr>
      </w:pPr>
      <w:r>
        <w:rPr>
          <w:rFonts w:hint="eastAsia" w:eastAsia="宋体"/>
          <w:sz w:val="22"/>
          <w:szCs w:val="22"/>
          <w:lang w:val="en-US" w:eastAsia="zh-CN"/>
        </w:rPr>
        <w:t>It</w:t>
      </w:r>
      <w:r>
        <w:rPr>
          <w:rFonts w:hint="default" w:eastAsia="宋体"/>
          <w:sz w:val="22"/>
          <w:szCs w:val="22"/>
          <w:lang w:val="en-US" w:eastAsia="zh-CN"/>
        </w:rPr>
        <w:t>’</w:t>
      </w:r>
      <w:r>
        <w:rPr>
          <w:rFonts w:hint="eastAsia" w:eastAsia="宋体"/>
          <w:sz w:val="22"/>
          <w:szCs w:val="22"/>
          <w:lang w:val="en-US" w:eastAsia="zh-CN"/>
        </w:rPr>
        <w:t>s agreed that R15 UE requirement framework for BFD and BFR will be taken as baseline.</w:t>
      </w:r>
    </w:p>
    <w:p>
      <w:pPr>
        <w:pStyle w:val="36"/>
        <w:numPr>
          <w:ilvl w:val="0"/>
          <w:numId w:val="0"/>
        </w:numPr>
        <w:ind w:leftChars="0"/>
        <w:rPr>
          <w:rFonts w:hint="eastAsia"/>
          <w:sz w:val="22"/>
          <w:szCs w:val="22"/>
          <w:lang w:val="en-US" w:eastAsia="zh-CN"/>
        </w:rPr>
      </w:pPr>
      <w:r>
        <w:rPr>
          <w:rFonts w:hint="eastAsia"/>
          <w:sz w:val="22"/>
          <w:szCs w:val="22"/>
          <w:lang w:val="en-US" w:eastAsia="zh-CN"/>
        </w:rPr>
        <w:t xml:space="preserve">Proposal 1: </w:t>
      </w:r>
      <w:r>
        <w:rPr>
          <w:rFonts w:hint="eastAsia" w:eastAsia="宋体"/>
          <w:sz w:val="22"/>
          <w:szCs w:val="22"/>
          <w:lang w:val="en-US" w:eastAsia="zh-CN"/>
        </w:rPr>
        <w:t>M</w:t>
      </w:r>
      <w:r>
        <w:rPr>
          <w:rFonts w:hint="eastAsia" w:eastAsia="宋体" w:cs="v4.2.0"/>
          <w:sz w:val="22"/>
          <w:szCs w:val="22"/>
          <w:vertAlign w:val="baseline"/>
          <w:lang w:val="en-US" w:eastAsia="zh-CN"/>
        </w:rPr>
        <w:t xml:space="preserve">icro type of IAB MTs should reuse most of the </w:t>
      </w:r>
      <w:r>
        <w:rPr>
          <w:rFonts w:hint="eastAsia" w:eastAsia="宋体"/>
          <w:sz w:val="22"/>
          <w:szCs w:val="22"/>
          <w:lang w:val="en-US" w:eastAsia="zh-CN"/>
        </w:rPr>
        <w:t>BFD and BFR</w:t>
      </w:r>
      <w:r>
        <w:rPr>
          <w:rFonts w:hint="eastAsia" w:eastAsia="宋体" w:cs="v4.2.0"/>
          <w:sz w:val="22"/>
          <w:szCs w:val="22"/>
          <w:vertAlign w:val="baseline"/>
          <w:lang w:val="en-US" w:eastAsia="zh-CN"/>
        </w:rPr>
        <w:t xml:space="preserve"> requirements for R15 UEs, with some relaxation on certain  aspects</w:t>
      </w:r>
      <w:r>
        <w:rPr>
          <w:rFonts w:hint="eastAsia"/>
          <w:sz w:val="22"/>
          <w:szCs w:val="22"/>
          <w:lang w:val="en-US" w:eastAsia="zh-CN"/>
        </w:rPr>
        <w:t>.</w:t>
      </w:r>
    </w:p>
    <w:p>
      <w:pPr>
        <w:pStyle w:val="36"/>
        <w:numPr>
          <w:ilvl w:val="0"/>
          <w:numId w:val="0"/>
        </w:numPr>
        <w:ind w:leftChars="0"/>
        <w:rPr>
          <w:rFonts w:hint="default"/>
          <w:sz w:val="22"/>
          <w:szCs w:val="22"/>
          <w:lang w:val="en-US" w:eastAsia="zh-CN"/>
        </w:rPr>
      </w:pPr>
      <w:r>
        <w:rPr>
          <w:rFonts w:hint="default"/>
          <w:sz w:val="22"/>
          <w:szCs w:val="22"/>
          <w:lang w:val="en-US" w:eastAsia="zh-CN"/>
        </w:rPr>
        <w:t xml:space="preserve">Proposal </w:t>
      </w:r>
      <w:r>
        <w:rPr>
          <w:rFonts w:hint="eastAsia"/>
          <w:sz w:val="22"/>
          <w:szCs w:val="22"/>
          <w:lang w:val="en-US" w:eastAsia="zh-CN"/>
        </w:rPr>
        <w:t>2</w:t>
      </w:r>
      <w:r>
        <w:rPr>
          <w:rFonts w:hint="default"/>
          <w:sz w:val="22"/>
          <w:szCs w:val="22"/>
          <w:lang w:val="en-US" w:eastAsia="zh-CN"/>
        </w:rPr>
        <w:t xml:space="preserve">: </w:t>
      </w:r>
      <w:r>
        <w:rPr>
          <w:rFonts w:hint="eastAsia" w:eastAsia="宋体" w:cs="v4.2.0"/>
          <w:sz w:val="22"/>
          <w:szCs w:val="22"/>
          <w:vertAlign w:val="baseline"/>
          <w:lang w:val="en-US" w:eastAsia="zh-CN"/>
        </w:rPr>
        <w:t xml:space="preserve">Omit the sharing factor P from the </w:t>
      </w:r>
      <w:r>
        <w:rPr>
          <w:rFonts w:hint="eastAsia" w:eastAsia="宋体"/>
          <w:sz w:val="22"/>
          <w:szCs w:val="22"/>
          <w:lang w:val="en-US" w:eastAsia="zh-CN"/>
        </w:rPr>
        <w:t>BFD and BFR</w:t>
      </w:r>
      <w:r>
        <w:rPr>
          <w:rFonts w:hint="eastAsia" w:eastAsia="宋体" w:cs="v4.2.0"/>
          <w:sz w:val="22"/>
          <w:szCs w:val="22"/>
          <w:vertAlign w:val="baseline"/>
          <w:lang w:val="en-US" w:eastAsia="zh-CN"/>
        </w:rPr>
        <w:t xml:space="preserve"> requirements (P = 1 always).</w:t>
      </w:r>
    </w:p>
    <w:p>
      <w:pPr>
        <w:pStyle w:val="36"/>
        <w:numPr>
          <w:ilvl w:val="0"/>
          <w:numId w:val="0"/>
        </w:numPr>
        <w:ind w:leftChars="0"/>
        <w:rPr>
          <w:rFonts w:hint="default"/>
          <w:sz w:val="22"/>
          <w:szCs w:val="22"/>
          <w:lang w:val="en-US" w:eastAsia="zh-CN"/>
        </w:rPr>
      </w:pPr>
      <w:r>
        <w:rPr>
          <w:rFonts w:hint="default"/>
          <w:sz w:val="22"/>
          <w:szCs w:val="22"/>
          <w:lang w:val="en-US" w:eastAsia="zh-CN"/>
        </w:rPr>
        <w:t xml:space="preserve">Proposal </w:t>
      </w:r>
      <w:r>
        <w:rPr>
          <w:rFonts w:hint="eastAsia"/>
          <w:sz w:val="22"/>
          <w:szCs w:val="22"/>
          <w:lang w:val="en-US" w:eastAsia="zh-CN"/>
        </w:rPr>
        <w:t>3</w:t>
      </w:r>
      <w:r>
        <w:rPr>
          <w:rFonts w:hint="default"/>
          <w:sz w:val="22"/>
          <w:szCs w:val="22"/>
          <w:lang w:val="en-US" w:eastAsia="zh-CN"/>
        </w:rPr>
        <w:t xml:space="preserve">: </w:t>
      </w:r>
      <w:r>
        <w:rPr>
          <w:rFonts w:hint="eastAsia" w:eastAsia="宋体" w:cs="v4.2.0"/>
          <w:sz w:val="22"/>
          <w:szCs w:val="22"/>
          <w:vertAlign w:val="baseline"/>
          <w:lang w:val="en-US" w:eastAsia="zh-CN"/>
        </w:rPr>
        <w:t>The discussion on whether to remove the sharing factor should be combined across all relevant sub-agendas and a decision should be made for all scenarios where P is involved.</w:t>
      </w:r>
    </w:p>
    <w:p>
      <w:pPr>
        <w:pStyle w:val="36"/>
        <w:numPr>
          <w:ilvl w:val="0"/>
          <w:numId w:val="0"/>
        </w:numPr>
        <w:ind w:leftChars="0"/>
        <w:rPr>
          <w:rFonts w:hint="default"/>
          <w:sz w:val="22"/>
          <w:szCs w:val="22"/>
          <w:lang w:val="en-US" w:eastAsia="zh-CN"/>
        </w:rPr>
      </w:pPr>
      <w:r>
        <w:rPr>
          <w:rFonts w:hint="default"/>
          <w:sz w:val="22"/>
          <w:szCs w:val="22"/>
          <w:lang w:val="en-US" w:eastAsia="zh-CN"/>
        </w:rPr>
        <w:t xml:space="preserve">Proposal </w:t>
      </w:r>
      <w:r>
        <w:rPr>
          <w:rFonts w:hint="eastAsia"/>
          <w:sz w:val="22"/>
          <w:szCs w:val="22"/>
          <w:lang w:val="en-US" w:eastAsia="zh-CN"/>
        </w:rPr>
        <w:t>4</w:t>
      </w:r>
      <w:r>
        <w:rPr>
          <w:rFonts w:hint="default"/>
          <w:sz w:val="22"/>
          <w:szCs w:val="22"/>
          <w:lang w:val="en-US" w:eastAsia="zh-CN"/>
        </w:rPr>
        <w:t xml:space="preserve">: </w:t>
      </w:r>
      <w:r>
        <w:rPr>
          <w:rFonts w:hint="eastAsia" w:eastAsia="宋体" w:cs="v4.2.0"/>
          <w:sz w:val="22"/>
          <w:szCs w:val="22"/>
          <w:vertAlign w:val="baseline"/>
          <w:lang w:val="en-US" w:eastAsia="zh-CN"/>
        </w:rPr>
        <w:t>Beam sweeping factor N = 4.</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lang w:val="en-GB"/>
        </w:rPr>
      </w:pPr>
      <w:bookmarkStart w:id="5" w:name="_Ref2843888"/>
      <w:r>
        <w:rPr>
          <w:rFonts w:hint="eastAsia"/>
          <w:lang w:val="en-GB"/>
        </w:rPr>
        <w:t>RP-193199</w:t>
      </w:r>
      <w:bookmarkEnd w:id="5"/>
    </w:p>
    <w:p>
      <w:pPr>
        <w:numPr>
          <w:ilvl w:val="0"/>
          <w:numId w:val="7"/>
        </w:numPr>
        <w:overflowPunct w:val="0"/>
        <w:autoSpaceDE w:val="0"/>
        <w:autoSpaceDN w:val="0"/>
        <w:adjustRightInd w:val="0"/>
        <w:spacing w:after="120" w:line="240" w:lineRule="auto"/>
        <w:jc w:val="both"/>
        <w:textAlignment w:val="baseline"/>
        <w:rPr>
          <w:lang w:val="en-GB"/>
        </w:rPr>
      </w:pPr>
      <w:r>
        <w:rPr>
          <w:rFonts w:hint="eastAsia"/>
          <w:lang w:val="en-GB"/>
        </w:rPr>
        <w:t>R4-2000890</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1"/>
    <w:lvlOverride w:ilvl="0">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448FD"/>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3EDF"/>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660D4"/>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16EDC"/>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9788D"/>
    <w:rsid w:val="016E368C"/>
    <w:rsid w:val="017B5E4B"/>
    <w:rsid w:val="018D054D"/>
    <w:rsid w:val="01FF08B3"/>
    <w:rsid w:val="026B051B"/>
    <w:rsid w:val="02B274E2"/>
    <w:rsid w:val="02C25D33"/>
    <w:rsid w:val="03186FA1"/>
    <w:rsid w:val="03C6506D"/>
    <w:rsid w:val="03F37217"/>
    <w:rsid w:val="04C77D0A"/>
    <w:rsid w:val="04D5204C"/>
    <w:rsid w:val="059B61E4"/>
    <w:rsid w:val="05A86143"/>
    <w:rsid w:val="06105DAC"/>
    <w:rsid w:val="062F1DED"/>
    <w:rsid w:val="069766CC"/>
    <w:rsid w:val="07502CA2"/>
    <w:rsid w:val="078B76F8"/>
    <w:rsid w:val="079C29C7"/>
    <w:rsid w:val="079D410C"/>
    <w:rsid w:val="07D45C41"/>
    <w:rsid w:val="07ED2976"/>
    <w:rsid w:val="080661C8"/>
    <w:rsid w:val="08641205"/>
    <w:rsid w:val="0868025F"/>
    <w:rsid w:val="0873226E"/>
    <w:rsid w:val="08935729"/>
    <w:rsid w:val="08C654D4"/>
    <w:rsid w:val="08CC5D10"/>
    <w:rsid w:val="092C45E6"/>
    <w:rsid w:val="099F556C"/>
    <w:rsid w:val="09C640C3"/>
    <w:rsid w:val="0A5763D4"/>
    <w:rsid w:val="0A684C4F"/>
    <w:rsid w:val="0A7BF868"/>
    <w:rsid w:val="0AC12B88"/>
    <w:rsid w:val="0B2F05F5"/>
    <w:rsid w:val="0B38708C"/>
    <w:rsid w:val="0B7322DC"/>
    <w:rsid w:val="0BB77882"/>
    <w:rsid w:val="0BD17A34"/>
    <w:rsid w:val="0C3566BC"/>
    <w:rsid w:val="0C391535"/>
    <w:rsid w:val="0C3C5307"/>
    <w:rsid w:val="0C56263C"/>
    <w:rsid w:val="0C5E2B8A"/>
    <w:rsid w:val="0D102274"/>
    <w:rsid w:val="0D8B1463"/>
    <w:rsid w:val="0DA958CA"/>
    <w:rsid w:val="0DC9088C"/>
    <w:rsid w:val="0DF104D3"/>
    <w:rsid w:val="0E1C586B"/>
    <w:rsid w:val="0E5237AB"/>
    <w:rsid w:val="0ED138E6"/>
    <w:rsid w:val="0EED584B"/>
    <w:rsid w:val="0F67780F"/>
    <w:rsid w:val="0F8F3C2A"/>
    <w:rsid w:val="0FB648CB"/>
    <w:rsid w:val="0FD0731A"/>
    <w:rsid w:val="0FF1533A"/>
    <w:rsid w:val="0FFE0AFA"/>
    <w:rsid w:val="10A34D44"/>
    <w:rsid w:val="10AA3C13"/>
    <w:rsid w:val="10CD0B75"/>
    <w:rsid w:val="110C4D24"/>
    <w:rsid w:val="122017FC"/>
    <w:rsid w:val="128409CA"/>
    <w:rsid w:val="12BB3A94"/>
    <w:rsid w:val="12EF585C"/>
    <w:rsid w:val="12FA21C3"/>
    <w:rsid w:val="130A066D"/>
    <w:rsid w:val="13262572"/>
    <w:rsid w:val="136D11EC"/>
    <w:rsid w:val="137D50D6"/>
    <w:rsid w:val="139B3B65"/>
    <w:rsid w:val="13D36053"/>
    <w:rsid w:val="13F75352"/>
    <w:rsid w:val="1480544B"/>
    <w:rsid w:val="14B36B91"/>
    <w:rsid w:val="164F667E"/>
    <w:rsid w:val="165D0583"/>
    <w:rsid w:val="16654289"/>
    <w:rsid w:val="16A740F6"/>
    <w:rsid w:val="16DB79C9"/>
    <w:rsid w:val="16F76B11"/>
    <w:rsid w:val="17141F2D"/>
    <w:rsid w:val="17A076C4"/>
    <w:rsid w:val="17A62BCE"/>
    <w:rsid w:val="17C22275"/>
    <w:rsid w:val="17E826AB"/>
    <w:rsid w:val="18D3414F"/>
    <w:rsid w:val="18D91924"/>
    <w:rsid w:val="19A96435"/>
    <w:rsid w:val="1A0B3A21"/>
    <w:rsid w:val="1B1547E1"/>
    <w:rsid w:val="1B3329B5"/>
    <w:rsid w:val="1B7F155B"/>
    <w:rsid w:val="1C6134BE"/>
    <w:rsid w:val="1C6A6128"/>
    <w:rsid w:val="1D1F1294"/>
    <w:rsid w:val="1D354E67"/>
    <w:rsid w:val="1E8806BC"/>
    <w:rsid w:val="1E9B2F1B"/>
    <w:rsid w:val="1EA137E3"/>
    <w:rsid w:val="1EE66AFB"/>
    <w:rsid w:val="1F0936F5"/>
    <w:rsid w:val="1F17474D"/>
    <w:rsid w:val="1F2B10F9"/>
    <w:rsid w:val="1F711839"/>
    <w:rsid w:val="200D067C"/>
    <w:rsid w:val="20811B82"/>
    <w:rsid w:val="20A662B2"/>
    <w:rsid w:val="21091739"/>
    <w:rsid w:val="211451D0"/>
    <w:rsid w:val="2151075A"/>
    <w:rsid w:val="2170262B"/>
    <w:rsid w:val="21807FBC"/>
    <w:rsid w:val="219E74A3"/>
    <w:rsid w:val="21CD19D4"/>
    <w:rsid w:val="220539DF"/>
    <w:rsid w:val="22571B82"/>
    <w:rsid w:val="22920D1D"/>
    <w:rsid w:val="22C0245E"/>
    <w:rsid w:val="230B25C1"/>
    <w:rsid w:val="23514077"/>
    <w:rsid w:val="23855295"/>
    <w:rsid w:val="23B20773"/>
    <w:rsid w:val="23CF6D67"/>
    <w:rsid w:val="244F4BD6"/>
    <w:rsid w:val="248F188B"/>
    <w:rsid w:val="24BC3350"/>
    <w:rsid w:val="24E91488"/>
    <w:rsid w:val="25077EC5"/>
    <w:rsid w:val="25151459"/>
    <w:rsid w:val="25630107"/>
    <w:rsid w:val="25962669"/>
    <w:rsid w:val="25C20278"/>
    <w:rsid w:val="2618297D"/>
    <w:rsid w:val="262D62D9"/>
    <w:rsid w:val="26443720"/>
    <w:rsid w:val="26681CAB"/>
    <w:rsid w:val="267E5FCE"/>
    <w:rsid w:val="26B35BAC"/>
    <w:rsid w:val="27572E0B"/>
    <w:rsid w:val="280C272A"/>
    <w:rsid w:val="28352D10"/>
    <w:rsid w:val="284E33F7"/>
    <w:rsid w:val="287A3770"/>
    <w:rsid w:val="289E07C9"/>
    <w:rsid w:val="291141AD"/>
    <w:rsid w:val="293606FA"/>
    <w:rsid w:val="29517179"/>
    <w:rsid w:val="29E7086A"/>
    <w:rsid w:val="2A1219AD"/>
    <w:rsid w:val="2A394321"/>
    <w:rsid w:val="2AE26D3F"/>
    <w:rsid w:val="2AF8774D"/>
    <w:rsid w:val="2B0F6E62"/>
    <w:rsid w:val="2B2B7A87"/>
    <w:rsid w:val="2B4E55E6"/>
    <w:rsid w:val="2B7579C5"/>
    <w:rsid w:val="2B76094A"/>
    <w:rsid w:val="2B920B79"/>
    <w:rsid w:val="2BB04900"/>
    <w:rsid w:val="2C3A3275"/>
    <w:rsid w:val="2C495744"/>
    <w:rsid w:val="2CEE6B8D"/>
    <w:rsid w:val="2D233DAE"/>
    <w:rsid w:val="2D8E403A"/>
    <w:rsid w:val="2E0770FA"/>
    <w:rsid w:val="2E145F76"/>
    <w:rsid w:val="2EA86D09"/>
    <w:rsid w:val="2F32226B"/>
    <w:rsid w:val="2F376D10"/>
    <w:rsid w:val="2F596601"/>
    <w:rsid w:val="2FA231C5"/>
    <w:rsid w:val="308B65F2"/>
    <w:rsid w:val="3117229F"/>
    <w:rsid w:val="31395268"/>
    <w:rsid w:val="313B7383"/>
    <w:rsid w:val="318A102B"/>
    <w:rsid w:val="31950F1B"/>
    <w:rsid w:val="31A50177"/>
    <w:rsid w:val="320F0A18"/>
    <w:rsid w:val="32227D1D"/>
    <w:rsid w:val="32351CB2"/>
    <w:rsid w:val="324554E5"/>
    <w:rsid w:val="325D2B5A"/>
    <w:rsid w:val="327661FC"/>
    <w:rsid w:val="3288676B"/>
    <w:rsid w:val="32A12F92"/>
    <w:rsid w:val="32B33B5A"/>
    <w:rsid w:val="32EE27B2"/>
    <w:rsid w:val="33245EFA"/>
    <w:rsid w:val="33372789"/>
    <w:rsid w:val="333876C2"/>
    <w:rsid w:val="33484A1E"/>
    <w:rsid w:val="335F47E9"/>
    <w:rsid w:val="346E4104"/>
    <w:rsid w:val="3476470C"/>
    <w:rsid w:val="34D83C16"/>
    <w:rsid w:val="34D87C7B"/>
    <w:rsid w:val="34FA5652"/>
    <w:rsid w:val="3509315E"/>
    <w:rsid w:val="351A4CC6"/>
    <w:rsid w:val="35F16798"/>
    <w:rsid w:val="37705F34"/>
    <w:rsid w:val="377700B0"/>
    <w:rsid w:val="37846083"/>
    <w:rsid w:val="37AF7036"/>
    <w:rsid w:val="380927B5"/>
    <w:rsid w:val="3876150B"/>
    <w:rsid w:val="39073059"/>
    <w:rsid w:val="392739EA"/>
    <w:rsid w:val="392D38AD"/>
    <w:rsid w:val="3946679B"/>
    <w:rsid w:val="39925150"/>
    <w:rsid w:val="399A43EA"/>
    <w:rsid w:val="39E04A77"/>
    <w:rsid w:val="3A0F1960"/>
    <w:rsid w:val="3A166029"/>
    <w:rsid w:val="3A23663F"/>
    <w:rsid w:val="3A364B42"/>
    <w:rsid w:val="3AF216E5"/>
    <w:rsid w:val="3B02469B"/>
    <w:rsid w:val="3B30671A"/>
    <w:rsid w:val="3B5662AC"/>
    <w:rsid w:val="3C4F6AF8"/>
    <w:rsid w:val="3C727D51"/>
    <w:rsid w:val="3CCC387D"/>
    <w:rsid w:val="3CCE203C"/>
    <w:rsid w:val="3D0C1655"/>
    <w:rsid w:val="3D4E48C8"/>
    <w:rsid w:val="3D77737D"/>
    <w:rsid w:val="3DC04E13"/>
    <w:rsid w:val="3DD244E7"/>
    <w:rsid w:val="3E5B41D6"/>
    <w:rsid w:val="3ECE16FA"/>
    <w:rsid w:val="3F072EB0"/>
    <w:rsid w:val="3FF55768"/>
    <w:rsid w:val="40566CBF"/>
    <w:rsid w:val="405B0BEF"/>
    <w:rsid w:val="407921CE"/>
    <w:rsid w:val="40C04FE0"/>
    <w:rsid w:val="4117526A"/>
    <w:rsid w:val="416D11E1"/>
    <w:rsid w:val="41AA7137"/>
    <w:rsid w:val="41EC58FB"/>
    <w:rsid w:val="42381A71"/>
    <w:rsid w:val="426B0C9E"/>
    <w:rsid w:val="42841694"/>
    <w:rsid w:val="429266C7"/>
    <w:rsid w:val="42AF1322"/>
    <w:rsid w:val="42B30ACF"/>
    <w:rsid w:val="42E73C10"/>
    <w:rsid w:val="430903EA"/>
    <w:rsid w:val="43140EC2"/>
    <w:rsid w:val="43EE582E"/>
    <w:rsid w:val="43F92766"/>
    <w:rsid w:val="43FB3DA4"/>
    <w:rsid w:val="44022066"/>
    <w:rsid w:val="441C4006"/>
    <w:rsid w:val="449E489D"/>
    <w:rsid w:val="44B24294"/>
    <w:rsid w:val="451019FB"/>
    <w:rsid w:val="455B13AC"/>
    <w:rsid w:val="45CF3CD0"/>
    <w:rsid w:val="45D95F13"/>
    <w:rsid w:val="460567D8"/>
    <w:rsid w:val="462F25DF"/>
    <w:rsid w:val="46620161"/>
    <w:rsid w:val="477A6D83"/>
    <w:rsid w:val="47C304FD"/>
    <w:rsid w:val="47C357A6"/>
    <w:rsid w:val="47D77F02"/>
    <w:rsid w:val="487C3875"/>
    <w:rsid w:val="489059E6"/>
    <w:rsid w:val="48977283"/>
    <w:rsid w:val="48FA3778"/>
    <w:rsid w:val="49896512"/>
    <w:rsid w:val="4996414B"/>
    <w:rsid w:val="49BA3D71"/>
    <w:rsid w:val="4A2F7724"/>
    <w:rsid w:val="4A5C70F1"/>
    <w:rsid w:val="4AB61A05"/>
    <w:rsid w:val="4AF26B9D"/>
    <w:rsid w:val="4BB65435"/>
    <w:rsid w:val="4BCE1489"/>
    <w:rsid w:val="4BEA1EE4"/>
    <w:rsid w:val="4BFB2D49"/>
    <w:rsid w:val="4C293566"/>
    <w:rsid w:val="4C723787"/>
    <w:rsid w:val="4CF05EAC"/>
    <w:rsid w:val="4D102CB4"/>
    <w:rsid w:val="4D1463CD"/>
    <w:rsid w:val="4D9E609E"/>
    <w:rsid w:val="4E0243C8"/>
    <w:rsid w:val="4E170FC7"/>
    <w:rsid w:val="4EA61F19"/>
    <w:rsid w:val="4EB053BD"/>
    <w:rsid w:val="4FBC6FAF"/>
    <w:rsid w:val="4FC37410"/>
    <w:rsid w:val="4FDC68F3"/>
    <w:rsid w:val="50005DA1"/>
    <w:rsid w:val="502A6272"/>
    <w:rsid w:val="5041435B"/>
    <w:rsid w:val="50564CCA"/>
    <w:rsid w:val="505A1CB0"/>
    <w:rsid w:val="50911EAF"/>
    <w:rsid w:val="509778C7"/>
    <w:rsid w:val="511E1DE8"/>
    <w:rsid w:val="514D66AE"/>
    <w:rsid w:val="5154719F"/>
    <w:rsid w:val="51773E2A"/>
    <w:rsid w:val="51C53170"/>
    <w:rsid w:val="52702E41"/>
    <w:rsid w:val="5280421D"/>
    <w:rsid w:val="52A51D80"/>
    <w:rsid w:val="52BF27F0"/>
    <w:rsid w:val="52DB2793"/>
    <w:rsid w:val="52FC10E1"/>
    <w:rsid w:val="535E62F0"/>
    <w:rsid w:val="5361709F"/>
    <w:rsid w:val="53705401"/>
    <w:rsid w:val="53752E8D"/>
    <w:rsid w:val="53832E83"/>
    <w:rsid w:val="53A74DC7"/>
    <w:rsid w:val="53C44BEA"/>
    <w:rsid w:val="53D45151"/>
    <w:rsid w:val="540D782C"/>
    <w:rsid w:val="54221908"/>
    <w:rsid w:val="542835DF"/>
    <w:rsid w:val="542F1421"/>
    <w:rsid w:val="544B51D2"/>
    <w:rsid w:val="544D013B"/>
    <w:rsid w:val="546C32BA"/>
    <w:rsid w:val="55352F87"/>
    <w:rsid w:val="5553143F"/>
    <w:rsid w:val="55B42DC5"/>
    <w:rsid w:val="56E81135"/>
    <w:rsid w:val="56FF2A90"/>
    <w:rsid w:val="57221ADC"/>
    <w:rsid w:val="573B229E"/>
    <w:rsid w:val="578545C8"/>
    <w:rsid w:val="57FF7814"/>
    <w:rsid w:val="586B2608"/>
    <w:rsid w:val="58E20C36"/>
    <w:rsid w:val="592D7AE2"/>
    <w:rsid w:val="593554F0"/>
    <w:rsid w:val="59C007BC"/>
    <w:rsid w:val="5A3078C5"/>
    <w:rsid w:val="5AAC4CA7"/>
    <w:rsid w:val="5ADF3A74"/>
    <w:rsid w:val="5AE53367"/>
    <w:rsid w:val="5B0B0083"/>
    <w:rsid w:val="5B5559A3"/>
    <w:rsid w:val="5BC0364C"/>
    <w:rsid w:val="5BC3228B"/>
    <w:rsid w:val="5C3B1FEA"/>
    <w:rsid w:val="5C6A01BF"/>
    <w:rsid w:val="5C9D5A80"/>
    <w:rsid w:val="5D041ECD"/>
    <w:rsid w:val="5E2D4C21"/>
    <w:rsid w:val="5EE41E2E"/>
    <w:rsid w:val="5EF92809"/>
    <w:rsid w:val="5F025A64"/>
    <w:rsid w:val="5F0F00DA"/>
    <w:rsid w:val="5F520F91"/>
    <w:rsid w:val="5F5E6814"/>
    <w:rsid w:val="60017F85"/>
    <w:rsid w:val="6045086B"/>
    <w:rsid w:val="6068085A"/>
    <w:rsid w:val="60745B63"/>
    <w:rsid w:val="61051332"/>
    <w:rsid w:val="614B3FC4"/>
    <w:rsid w:val="62302F88"/>
    <w:rsid w:val="62812953"/>
    <w:rsid w:val="62B7743E"/>
    <w:rsid w:val="64116858"/>
    <w:rsid w:val="648D5222"/>
    <w:rsid w:val="64A33C21"/>
    <w:rsid w:val="64B2258D"/>
    <w:rsid w:val="64D35246"/>
    <w:rsid w:val="65596380"/>
    <w:rsid w:val="65997784"/>
    <w:rsid w:val="65C64C37"/>
    <w:rsid w:val="65C65264"/>
    <w:rsid w:val="661E18B5"/>
    <w:rsid w:val="66AB371C"/>
    <w:rsid w:val="66AE1192"/>
    <w:rsid w:val="66C26880"/>
    <w:rsid w:val="66CA69C3"/>
    <w:rsid w:val="67A81CBF"/>
    <w:rsid w:val="67DA4215"/>
    <w:rsid w:val="67E42DFA"/>
    <w:rsid w:val="680A09E1"/>
    <w:rsid w:val="6837438D"/>
    <w:rsid w:val="6860443E"/>
    <w:rsid w:val="68EB3ADC"/>
    <w:rsid w:val="69462386"/>
    <w:rsid w:val="6A2870D5"/>
    <w:rsid w:val="6A7016FE"/>
    <w:rsid w:val="6AC66DB8"/>
    <w:rsid w:val="6AFC6812"/>
    <w:rsid w:val="6B4942AC"/>
    <w:rsid w:val="6B4E0765"/>
    <w:rsid w:val="6B5E2EC6"/>
    <w:rsid w:val="6C26718E"/>
    <w:rsid w:val="6C42065A"/>
    <w:rsid w:val="6C6F44FD"/>
    <w:rsid w:val="6CD4731D"/>
    <w:rsid w:val="6D121910"/>
    <w:rsid w:val="6D3205F0"/>
    <w:rsid w:val="6DB702B4"/>
    <w:rsid w:val="6E1766F0"/>
    <w:rsid w:val="6E504618"/>
    <w:rsid w:val="6EB20078"/>
    <w:rsid w:val="6F5579D7"/>
    <w:rsid w:val="6F801AF8"/>
    <w:rsid w:val="6F8906F0"/>
    <w:rsid w:val="6F8D5AAE"/>
    <w:rsid w:val="6FFF59CB"/>
    <w:rsid w:val="70160759"/>
    <w:rsid w:val="70200B37"/>
    <w:rsid w:val="70336F79"/>
    <w:rsid w:val="7037013D"/>
    <w:rsid w:val="704E4A67"/>
    <w:rsid w:val="70995673"/>
    <w:rsid w:val="70A27F1E"/>
    <w:rsid w:val="70AA0AC2"/>
    <w:rsid w:val="70EA7511"/>
    <w:rsid w:val="71112353"/>
    <w:rsid w:val="71143E21"/>
    <w:rsid w:val="71AF43AC"/>
    <w:rsid w:val="72867A39"/>
    <w:rsid w:val="72C82EA5"/>
    <w:rsid w:val="72EE3608"/>
    <w:rsid w:val="7327462F"/>
    <w:rsid w:val="732F59FD"/>
    <w:rsid w:val="732F7900"/>
    <w:rsid w:val="734B5574"/>
    <w:rsid w:val="7355417D"/>
    <w:rsid w:val="736C3FBB"/>
    <w:rsid w:val="73A85DC8"/>
    <w:rsid w:val="73C32C41"/>
    <w:rsid w:val="74573DE9"/>
    <w:rsid w:val="749900DE"/>
    <w:rsid w:val="74D53B99"/>
    <w:rsid w:val="75206F1B"/>
    <w:rsid w:val="753A7704"/>
    <w:rsid w:val="754C1AAF"/>
    <w:rsid w:val="75A12878"/>
    <w:rsid w:val="75C63BA1"/>
    <w:rsid w:val="76761DE7"/>
    <w:rsid w:val="76991F3B"/>
    <w:rsid w:val="76D8737F"/>
    <w:rsid w:val="76E279D7"/>
    <w:rsid w:val="772E0626"/>
    <w:rsid w:val="7752184A"/>
    <w:rsid w:val="7754709D"/>
    <w:rsid w:val="776E285A"/>
    <w:rsid w:val="779E3171"/>
    <w:rsid w:val="77B02D8D"/>
    <w:rsid w:val="77C0093D"/>
    <w:rsid w:val="77C90B9C"/>
    <w:rsid w:val="78384CBC"/>
    <w:rsid w:val="784258BF"/>
    <w:rsid w:val="78654C62"/>
    <w:rsid w:val="78F44922"/>
    <w:rsid w:val="793758F2"/>
    <w:rsid w:val="79763A57"/>
    <w:rsid w:val="79DC6C3F"/>
    <w:rsid w:val="79ED4DBE"/>
    <w:rsid w:val="7A250260"/>
    <w:rsid w:val="7A787ECB"/>
    <w:rsid w:val="7A8B51CB"/>
    <w:rsid w:val="7AB507FA"/>
    <w:rsid w:val="7AC634CB"/>
    <w:rsid w:val="7AD2745F"/>
    <w:rsid w:val="7C3A7105"/>
    <w:rsid w:val="7C41564D"/>
    <w:rsid w:val="7C8E16C9"/>
    <w:rsid w:val="7CB358D9"/>
    <w:rsid w:val="7CB561C0"/>
    <w:rsid w:val="7CCC277F"/>
    <w:rsid w:val="7CE3033A"/>
    <w:rsid w:val="7D0A2590"/>
    <w:rsid w:val="7D155693"/>
    <w:rsid w:val="7D54493D"/>
    <w:rsid w:val="7D550752"/>
    <w:rsid w:val="7D6A7A29"/>
    <w:rsid w:val="7DCA3349"/>
    <w:rsid w:val="7DCC5A45"/>
    <w:rsid w:val="7E8B6D0C"/>
    <w:rsid w:val="7F285EA4"/>
    <w:rsid w:val="7F787EDB"/>
    <w:rsid w:val="7FDD5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8"/>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2">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rPr>
      <w:sz w:val="24"/>
    </w:rPr>
  </w:style>
  <w:style w:type="paragraph" w:styleId="17">
    <w:name w:val="annotation subject"/>
    <w:basedOn w:val="7"/>
    <w:next w:val="7"/>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2"/>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1"/>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7"/>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8"/>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5355</Characters>
  <Lines>44</Lines>
  <Paragraphs>12</Paragraphs>
  <TotalTime>1</TotalTime>
  <ScaleCrop>false</ScaleCrop>
  <LinksUpToDate>false</LinksUpToDate>
  <CharactersWithSpaces>6220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2020-04-10T09:44:36Z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